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rPr>
          <w:kern w:val="0"/>
          <w:sz w:val="30"/>
          <w:szCs w:val="30"/>
        </w:rPr>
      </w:pPr>
    </w:p>
    <w:p>
      <w:pPr>
        <w:pStyle w:val="49"/>
        <w:spacing w:line="540" w:lineRule="exact"/>
        <w:rPr>
          <w:kern w:val="0"/>
          <w:sz w:val="30"/>
          <w:szCs w:val="30"/>
        </w:rPr>
      </w:pPr>
    </w:p>
    <w:p>
      <w:pPr>
        <w:spacing w:line="700" w:lineRule="exact"/>
        <w:ind w:firstLine="720" w:firstLineChars="200"/>
        <w:jc w:val="left"/>
        <w:rPr>
          <w:rFonts w:hint="eastAsia" w:hAnsi="宋体" w:eastAsia="仿宋_GB2312" w:cs="宋体"/>
          <w:kern w:val="0"/>
          <w:sz w:val="36"/>
          <w:szCs w:val="36"/>
        </w:rPr>
      </w:pPr>
      <w:r>
        <w:rPr>
          <w:rFonts w:ascii="仿宋_GB2312" w:hAnsi="仿宋_GB2312" w:eastAsia="仿宋_GB2312" w:cs="仿宋_GB2312"/>
          <w:kern w:val="0"/>
          <w:sz w:val="36"/>
          <w:szCs w:val="36"/>
          <w:lang w:val="zh-TW" w:eastAsia="zh-TW"/>
        </w:rPr>
        <w:t>项目名称：</w:t>
      </w:r>
      <w:r>
        <w:rPr>
          <w:rFonts w:hint="eastAsia" w:hAnsi="宋体" w:eastAsia="仿宋_GB2312" w:cs="宋体"/>
          <w:kern w:val="0"/>
          <w:sz w:val="36"/>
          <w:szCs w:val="36"/>
        </w:rPr>
        <w:t>边境管控及国防教育工作经费项目</w:t>
      </w:r>
    </w:p>
    <w:p>
      <w:pPr>
        <w:pStyle w:val="49"/>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塔什库尔干县委办公室</w:t>
      </w:r>
    </w:p>
    <w:p>
      <w:pPr>
        <w:pStyle w:val="49"/>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塔什库尔干县委办公室</w:t>
      </w:r>
    </w:p>
    <w:p>
      <w:pPr>
        <w:pStyle w:val="49"/>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孙军长</w:t>
      </w:r>
    </w:p>
    <w:p>
      <w:pPr>
        <w:pStyle w:val="49"/>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31</w:t>
      </w:r>
      <w:r>
        <w:rPr>
          <w:rFonts w:ascii="仿宋_GB2312" w:hAnsi="仿宋_GB2312" w:eastAsia="仿宋_GB2312" w:cs="仿宋_GB2312"/>
          <w:kern w:val="0"/>
          <w:sz w:val="36"/>
          <w:szCs w:val="36"/>
          <w:lang w:val="zh-TW" w:eastAsia="zh-TW"/>
        </w:rPr>
        <w:t>日</w:t>
      </w:r>
    </w:p>
    <w:p>
      <w:pPr>
        <w:pStyle w:val="49"/>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hint="eastAsia" w:ascii="楷体" w:hAnsi="楷体" w:eastAsia="楷体"/>
          <w:spacing w:val="-4"/>
          <w:sz w:val="32"/>
          <w:szCs w:val="32"/>
        </w:rPr>
      </w:pPr>
      <w:r>
        <w:rPr>
          <w:rStyle w:val="19"/>
          <w:rFonts w:hint="eastAsia" w:ascii="楷体" w:hAnsi="楷体" w:eastAsia="楷体"/>
          <w:spacing w:val="-4"/>
          <w:sz w:val="32"/>
          <w:szCs w:val="32"/>
        </w:rPr>
        <w:t>（一）项目单位基本情况</w:t>
      </w:r>
    </w:p>
    <w:p>
      <w:pPr>
        <w:pStyle w:val="16"/>
        <w:shd w:val="clear" w:color="auto" w:fill="FFFFFF"/>
        <w:spacing w:before="0" w:beforeAutospacing="0" w:after="0" w:line="520" w:lineRule="exact"/>
        <w:ind w:firstLine="600" w:firstLineChars="200"/>
        <w:rPr>
          <w:rFonts w:ascii="仿宋_GB2312" w:hAnsi="Arial" w:eastAsia="仿宋_GB2312" w:cs="Arial"/>
          <w:sz w:val="32"/>
          <w:szCs w:val="32"/>
        </w:rPr>
      </w:pPr>
      <w:r>
        <w:rPr>
          <w:rFonts w:hint="eastAsia" w:ascii="仿宋_GB2312" w:eastAsia="仿宋_GB2312"/>
          <w:sz w:val="30"/>
          <w:szCs w:val="30"/>
        </w:rPr>
        <w:t>单位性质为行政单位，全额拨款单位，执行会计制度为行政会计制度。</w:t>
      </w:r>
      <w:r>
        <w:rPr>
          <w:rFonts w:hint="eastAsia" w:ascii="仿宋_GB2312" w:hAnsi="Arial" w:eastAsia="仿宋_GB2312" w:cs="Arial"/>
          <w:sz w:val="32"/>
          <w:szCs w:val="32"/>
        </w:rPr>
        <w:t>编制人数27人，其中：行政人员编制24人，参照公务员管理的事业单位人员编制0人，全额拨款事业单位人员编制 3人。</w:t>
      </w:r>
    </w:p>
    <w:p>
      <w:pPr>
        <w:pStyle w:val="16"/>
        <w:shd w:val="clear" w:color="auto" w:fill="FFFFFF"/>
        <w:spacing w:before="0" w:beforeAutospacing="0" w:after="0" w:line="520" w:lineRule="exact"/>
        <w:ind w:firstLine="640" w:firstLineChars="200"/>
        <w:rPr>
          <w:rStyle w:val="19"/>
          <w:rFonts w:ascii="仿宋_GB2312" w:hAnsi="Arial" w:eastAsia="仿宋_GB2312" w:cs="Arial"/>
          <w:b w:val="0"/>
          <w:bCs w:val="0"/>
          <w:sz w:val="32"/>
          <w:szCs w:val="32"/>
        </w:rPr>
      </w:pPr>
      <w:r>
        <w:rPr>
          <w:rFonts w:hint="eastAsia" w:ascii="仿宋_GB2312" w:hAnsi="Arial" w:eastAsia="仿宋_GB2312" w:cs="Arial"/>
          <w:sz w:val="32"/>
          <w:szCs w:val="32"/>
        </w:rPr>
        <w:t xml:space="preserve">实有在职人数19人，其中：行政在职11人，参照公务员管理的事业单位人员0人，事业在职1人，工勤在职人数7人。离退休人员49人，其中：离休人员0人，退休人员49人。   </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对全地区5014名优秀干部进行接待，通过开展边境管控及国防教育活动，进一步增强各族党员干部国防观念、国家安全和边境管控</w:t>
      </w:r>
      <w:r>
        <w:rPr>
          <w:rFonts w:hint="eastAsia" w:ascii="仿宋" w:hAnsi="仿宋" w:eastAsia="仿宋"/>
          <w:bCs/>
          <w:spacing w:val="-4"/>
          <w:sz w:val="32"/>
          <w:szCs w:val="32"/>
          <w:lang w:val="en-US" w:eastAsia="zh-CN"/>
        </w:rPr>
        <w:t>安全</w:t>
      </w:r>
      <w:r>
        <w:rPr>
          <w:rFonts w:hint="eastAsia" w:ascii="仿宋" w:hAnsi="仿宋" w:eastAsia="仿宋"/>
          <w:bCs/>
          <w:spacing w:val="-4"/>
          <w:sz w:val="32"/>
          <w:szCs w:val="32"/>
        </w:rPr>
        <w:t>意识，实现社会</w:t>
      </w:r>
      <w:r>
        <w:rPr>
          <w:rFonts w:hint="eastAsia" w:ascii="仿宋" w:hAnsi="仿宋" w:eastAsia="仿宋"/>
          <w:bCs/>
          <w:spacing w:val="-4"/>
          <w:sz w:val="32"/>
          <w:szCs w:val="32"/>
          <w:lang w:val="en-US" w:eastAsia="zh-CN"/>
        </w:rPr>
        <w:t>和谐</w:t>
      </w:r>
      <w:r>
        <w:rPr>
          <w:rFonts w:hint="eastAsia" w:ascii="仿宋" w:hAnsi="仿宋" w:eastAsia="仿宋"/>
          <w:bCs/>
          <w:spacing w:val="-4"/>
          <w:sz w:val="32"/>
          <w:szCs w:val="32"/>
        </w:rPr>
        <w:t>和长治久安。</w:t>
      </w:r>
    </w:p>
    <w:p>
      <w:p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延续性项目</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对全地区5014名优秀干部进行接待，通过开展边境管控及国防教育活动，进一步增强各族党员干部国防观念、国家安全和边境管控</w:t>
      </w:r>
      <w:r>
        <w:rPr>
          <w:rFonts w:hint="eastAsia" w:ascii="仿宋" w:hAnsi="仿宋" w:eastAsia="仿宋"/>
          <w:bCs/>
          <w:spacing w:val="-4"/>
          <w:sz w:val="32"/>
          <w:szCs w:val="32"/>
          <w:lang w:val="en-US" w:eastAsia="zh-CN"/>
        </w:rPr>
        <w:t>安全</w:t>
      </w:r>
      <w:r>
        <w:rPr>
          <w:rFonts w:hint="eastAsia" w:ascii="仿宋" w:hAnsi="仿宋" w:eastAsia="仿宋"/>
          <w:bCs/>
          <w:spacing w:val="-4"/>
          <w:sz w:val="32"/>
          <w:szCs w:val="32"/>
        </w:rPr>
        <w:t>意识，实现社会</w:t>
      </w:r>
      <w:r>
        <w:rPr>
          <w:rFonts w:hint="eastAsia" w:ascii="仿宋" w:hAnsi="仿宋" w:eastAsia="仿宋"/>
          <w:bCs/>
          <w:spacing w:val="-4"/>
          <w:sz w:val="32"/>
          <w:szCs w:val="32"/>
          <w:lang w:val="en-US" w:eastAsia="zh-CN"/>
        </w:rPr>
        <w:t>和谐</w:t>
      </w:r>
      <w:bookmarkStart w:id="0" w:name="_GoBack"/>
      <w:bookmarkEnd w:id="0"/>
      <w:r>
        <w:rPr>
          <w:rFonts w:hint="eastAsia" w:ascii="仿宋" w:hAnsi="仿宋" w:eastAsia="仿宋"/>
          <w:bCs/>
          <w:spacing w:val="-4"/>
          <w:sz w:val="32"/>
          <w:szCs w:val="32"/>
        </w:rPr>
        <w:t>和长治久安。</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hint="eastAsia"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9"/>
          <w:rFonts w:ascii="仿宋" w:hAnsi="仿宋" w:eastAsia="仿宋"/>
          <w:color w:val="FF0000"/>
          <w:spacing w:val="-4"/>
          <w:sz w:val="32"/>
          <w:szCs w:val="32"/>
        </w:rPr>
      </w:pPr>
      <w:r>
        <w:rPr>
          <w:rStyle w:val="19"/>
          <w:rFonts w:hint="eastAsia" w:ascii="仿宋" w:hAnsi="仿宋" w:eastAsia="仿宋"/>
          <w:b w:val="0"/>
          <w:spacing w:val="-4"/>
          <w:sz w:val="32"/>
          <w:szCs w:val="32"/>
        </w:rPr>
        <w:t>资金通过财政全额拨款，总投入资金362.</w:t>
      </w:r>
      <w:r>
        <w:rPr>
          <w:rStyle w:val="19"/>
          <w:rFonts w:hint="eastAsia" w:ascii="仿宋" w:hAnsi="仿宋" w:eastAsia="仿宋"/>
          <w:b w:val="0"/>
          <w:spacing w:val="-4"/>
          <w:sz w:val="32"/>
          <w:szCs w:val="32"/>
          <w:lang w:val="en-US" w:eastAsia="zh-CN"/>
        </w:rPr>
        <w:t>46</w:t>
      </w:r>
      <w:r>
        <w:rPr>
          <w:rStyle w:val="19"/>
          <w:rFonts w:hint="eastAsia" w:ascii="仿宋" w:hAnsi="仿宋" w:eastAsia="仿宋"/>
          <w:b w:val="0"/>
          <w:spacing w:val="-4"/>
          <w:sz w:val="32"/>
          <w:szCs w:val="32"/>
        </w:rPr>
        <w:t>万元，用于干部们的食宿和后勤保障方面。</w:t>
      </w:r>
    </w:p>
    <w:p>
      <w:pPr>
        <w:adjustRightInd w:val="0"/>
        <w:snapToGrid w:val="0"/>
        <w:spacing w:line="560" w:lineRule="exact"/>
        <w:ind w:firstLine="627" w:firstLineChars="200"/>
        <w:outlineLvl w:val="0"/>
        <w:rPr>
          <w:rStyle w:val="19"/>
          <w:rFonts w:hint="eastAsia"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本项目实际支付资金</w:t>
      </w:r>
      <w:r>
        <w:rPr>
          <w:rStyle w:val="19"/>
          <w:rFonts w:hint="eastAsia" w:ascii="仿宋" w:hAnsi="仿宋" w:eastAsia="仿宋"/>
          <w:b w:val="0"/>
          <w:spacing w:val="-4"/>
          <w:sz w:val="32"/>
          <w:szCs w:val="32"/>
        </w:rPr>
        <w:t>362.4</w:t>
      </w:r>
      <w:r>
        <w:rPr>
          <w:rStyle w:val="19"/>
          <w:rFonts w:hint="eastAsia" w:ascii="仿宋" w:hAnsi="仿宋" w:eastAsia="仿宋"/>
          <w:b w:val="0"/>
          <w:spacing w:val="-4"/>
          <w:sz w:val="32"/>
          <w:szCs w:val="32"/>
          <w:lang w:val="en-US" w:eastAsia="zh-CN"/>
        </w:rPr>
        <w:t>6</w:t>
      </w:r>
      <w:r>
        <w:rPr>
          <w:rStyle w:val="19"/>
          <w:rFonts w:hint="eastAsia" w:ascii="仿宋" w:hAnsi="仿宋" w:eastAsia="仿宋"/>
          <w:b w:val="0"/>
          <w:spacing w:val="-4"/>
          <w:sz w:val="32"/>
          <w:szCs w:val="32"/>
        </w:rPr>
        <w:t>万元，全部用于干部们的食宿和后勤保障方面</w:t>
      </w:r>
      <w:r>
        <w:rPr>
          <w:rStyle w:val="19"/>
          <w:rFonts w:hint="eastAsia" w:ascii="仿宋" w:hAnsi="仿宋" w:eastAsia="仿宋"/>
          <w:b w:val="0"/>
          <w:spacing w:val="-4"/>
          <w:sz w:val="32"/>
          <w:szCs w:val="32"/>
          <w:lang w:eastAsia="zh-CN"/>
        </w:rPr>
        <w:t>，</w:t>
      </w:r>
      <w:r>
        <w:rPr>
          <w:rStyle w:val="19"/>
          <w:rFonts w:hint="eastAsia" w:ascii="仿宋" w:hAnsi="仿宋" w:eastAsia="仿宋"/>
          <w:b w:val="0"/>
          <w:spacing w:val="-4"/>
          <w:sz w:val="32"/>
          <w:szCs w:val="32"/>
        </w:rPr>
        <w:t>预算执行率100%。</w:t>
      </w:r>
    </w:p>
    <w:p>
      <w:pPr>
        <w:adjustRightInd w:val="0"/>
        <w:snapToGrid w:val="0"/>
        <w:spacing w:line="560" w:lineRule="exact"/>
        <w:ind w:firstLine="627" w:firstLineChars="200"/>
        <w:outlineLvl w:val="0"/>
        <w:rPr>
          <w:rStyle w:val="19"/>
          <w:rFonts w:hint="eastAsia"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00" w:lineRule="exact"/>
        <w:ind w:firstLine="624" w:firstLineChars="200"/>
        <w:rPr>
          <w:rStyle w:val="19"/>
          <w:rFonts w:hint="eastAsia" w:ascii="仿宋" w:hAnsi="仿宋" w:eastAsia="仿宋"/>
          <w:b w:val="0"/>
          <w:bCs w:val="0"/>
          <w:color w:val="000000" w:themeColor="text1"/>
          <w:spacing w:val="-4"/>
          <w:sz w:val="32"/>
          <w:szCs w:val="32"/>
          <w:lang w:eastAsia="zh-CN"/>
        </w:rPr>
      </w:pPr>
      <w:r>
        <w:rPr>
          <w:rStyle w:val="19"/>
          <w:rFonts w:hint="eastAsia" w:ascii="仿宋" w:hAnsi="仿宋" w:eastAsia="仿宋"/>
          <w:b w:val="0"/>
          <w:spacing w:val="-4"/>
          <w:sz w:val="32"/>
          <w:szCs w:val="32"/>
        </w:rPr>
        <w:t>边境管控与国防教育经费，在项目实施过程中一是结合工作实际情况，将经费列出支出明细表，使各项支出有计划的开展，提高了预算执行率，二是加强督促检查。</w:t>
      </w:r>
      <w:r>
        <w:rPr>
          <w:rFonts w:hint="eastAsia" w:ascii="仿宋" w:hAnsi="仿宋" w:eastAsia="仿宋"/>
          <w:bCs/>
          <w:color w:val="000000" w:themeColor="text1"/>
          <w:spacing w:val="-4"/>
          <w:sz w:val="32"/>
          <w:szCs w:val="32"/>
        </w:rPr>
        <w:t>项目资金管理办法符合国家财经法规和财务管理制度以及有关资金管理办法的规定；资金的拨付有完整的审批程序和手续；资金的拨付有完整的审批程序和手续，不存在截留、挤占、挪用、虚列支出</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hint="eastAsia"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00" w:lineRule="exact"/>
        <w:ind w:firstLine="624" w:firstLineChars="200"/>
        <w:rPr>
          <w:rStyle w:val="19"/>
          <w:rFonts w:hint="eastAsia" w:ascii="仿宋" w:hAnsi="仿宋" w:eastAsia="仿宋"/>
          <w:b w:val="0"/>
          <w:bCs w:val="0"/>
          <w:spacing w:val="-4"/>
          <w:sz w:val="32"/>
          <w:szCs w:val="32"/>
          <w:lang w:eastAsia="zh-CN"/>
        </w:rPr>
      </w:pPr>
      <w:r>
        <w:rPr>
          <w:rStyle w:val="19"/>
          <w:rFonts w:hint="eastAsia" w:ascii="仿宋" w:hAnsi="仿宋" w:eastAsia="仿宋"/>
          <w:b w:val="0"/>
          <w:spacing w:val="-4"/>
          <w:sz w:val="32"/>
          <w:szCs w:val="32"/>
        </w:rPr>
        <w:t>项目资金于11月份到位后，立即形成报告明细，明确资金的使用范围，并形成报告上报县财经领导小组批准使用。资金不存在调整情况，</w:t>
      </w:r>
      <w:r>
        <w:rPr>
          <w:rStyle w:val="19"/>
          <w:rFonts w:hint="eastAsia" w:ascii="仿宋" w:hAnsi="仿宋" w:eastAsia="仿宋"/>
          <w:b w:val="0"/>
          <w:color w:val="000000" w:themeColor="text1"/>
          <w:spacing w:val="-4"/>
          <w:sz w:val="32"/>
          <w:szCs w:val="32"/>
        </w:rPr>
        <w:t>本项目不存在检查验收程序</w:t>
      </w:r>
      <w:r>
        <w:rPr>
          <w:rStyle w:val="19"/>
          <w:rFonts w:hint="eastAsia" w:ascii="仿宋" w:hAnsi="仿宋" w:eastAsia="仿宋"/>
          <w:b w:val="0"/>
          <w:color w:val="000000" w:themeColor="text1"/>
          <w:spacing w:val="-4"/>
          <w:sz w:val="32"/>
          <w:szCs w:val="32"/>
          <w:lang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00" w:lineRule="exact"/>
        <w:ind w:firstLine="624" w:firstLineChars="200"/>
        <w:rPr>
          <w:rStyle w:val="19"/>
          <w:rFonts w:ascii="仿宋" w:hAnsi="仿宋" w:eastAsia="仿宋"/>
          <w:b w:val="0"/>
          <w:bCs w:val="0"/>
          <w:spacing w:val="-4"/>
          <w:sz w:val="32"/>
          <w:szCs w:val="32"/>
        </w:rPr>
      </w:pPr>
      <w:r>
        <w:rPr>
          <w:rStyle w:val="19"/>
          <w:rFonts w:hint="eastAsia" w:ascii="仿宋" w:hAnsi="仿宋" w:eastAsia="仿宋"/>
          <w:b w:val="0"/>
          <w:spacing w:val="-4"/>
          <w:sz w:val="32"/>
          <w:szCs w:val="32"/>
        </w:rPr>
        <w:t>边境管控与国防教育经费,结全工作实际情况，使各项支出有计划的开展，提高预算执行率。</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ascii="仿宋" w:hAnsi="仿宋" w:eastAsia="仿宋"/>
          <w:bCs/>
          <w:color w:val="000000" w:themeColor="text1"/>
          <w:spacing w:val="-4"/>
          <w:sz w:val="32"/>
          <w:szCs w:val="32"/>
        </w:rPr>
        <w:t>本项目共设置一级指标</w:t>
      </w:r>
      <w:r>
        <w:rPr>
          <w:rFonts w:hint="eastAsia" w:ascii="仿宋" w:hAnsi="仿宋" w:eastAsia="仿宋"/>
          <w:bCs/>
          <w:color w:val="000000" w:themeColor="text1"/>
          <w:spacing w:val="-4"/>
          <w:sz w:val="32"/>
          <w:szCs w:val="32"/>
        </w:rPr>
        <w:t>3</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二级指标</w:t>
      </w:r>
      <w:r>
        <w:rPr>
          <w:rFonts w:hint="eastAsia" w:ascii="仿宋" w:hAnsi="仿宋" w:eastAsia="仿宋"/>
          <w:bCs/>
          <w:color w:val="000000" w:themeColor="text1"/>
          <w:spacing w:val="-4"/>
          <w:sz w:val="32"/>
          <w:szCs w:val="32"/>
        </w:rPr>
        <w:t>7</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三级指标</w:t>
      </w:r>
      <w:r>
        <w:rPr>
          <w:rFonts w:hint="eastAsia" w:ascii="仿宋" w:hAnsi="仿宋" w:eastAsia="仿宋"/>
          <w:bCs/>
          <w:color w:val="000000" w:themeColor="text1"/>
          <w:spacing w:val="-4"/>
          <w:sz w:val="32"/>
          <w:szCs w:val="32"/>
        </w:rPr>
        <w:t>12</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，其中</w:t>
      </w:r>
      <w:r>
        <w:rPr>
          <w:rFonts w:ascii="仿宋" w:hAnsi="仿宋" w:eastAsia="仿宋"/>
          <w:bCs/>
          <w:color w:val="000000" w:themeColor="text1"/>
          <w:spacing w:val="-4"/>
          <w:sz w:val="32"/>
          <w:szCs w:val="32"/>
        </w:rPr>
        <w:t>已完成三级指标</w:t>
      </w:r>
      <w:r>
        <w:rPr>
          <w:rFonts w:hint="eastAsia" w:ascii="仿宋" w:hAnsi="仿宋" w:eastAsia="仿宋"/>
          <w:bCs/>
          <w:color w:val="000000" w:themeColor="text1"/>
          <w:spacing w:val="-4"/>
          <w:sz w:val="32"/>
          <w:szCs w:val="32"/>
        </w:rPr>
        <w:t>12</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，指标完成率为99%。</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效益性：增强各族党员干部国防观念、国家安全和边境管控</w:t>
      </w:r>
      <w:r>
        <w:rPr>
          <w:rStyle w:val="19"/>
          <w:rFonts w:hint="eastAsia" w:ascii="仿宋" w:hAnsi="仿宋" w:eastAsia="仿宋"/>
          <w:b w:val="0"/>
          <w:color w:val="000000" w:themeColor="text1"/>
          <w:spacing w:val="-4"/>
          <w:sz w:val="32"/>
          <w:szCs w:val="32"/>
          <w:lang w:val="en-US" w:eastAsia="zh-CN"/>
        </w:rPr>
        <w:t>安全</w:t>
      </w:r>
      <w:r>
        <w:rPr>
          <w:rStyle w:val="19"/>
          <w:rFonts w:hint="eastAsia" w:ascii="仿宋" w:hAnsi="仿宋" w:eastAsia="仿宋"/>
          <w:b w:val="0"/>
          <w:color w:val="000000" w:themeColor="text1"/>
          <w:spacing w:val="-4"/>
          <w:sz w:val="32"/>
          <w:szCs w:val="32"/>
        </w:rPr>
        <w:t>意识，</w:t>
      </w:r>
      <w:r>
        <w:rPr>
          <w:rFonts w:hint="eastAsia" w:ascii="仿宋" w:hAnsi="仿宋" w:eastAsia="仿宋"/>
          <w:bCs/>
          <w:color w:val="000000" w:themeColor="text1"/>
          <w:spacing w:val="-4"/>
          <w:sz w:val="32"/>
          <w:szCs w:val="32"/>
        </w:rPr>
        <w:t>提高塔县知名度、助力塔县旅游产业发展。</w:t>
      </w:r>
    </w:p>
    <w:p>
      <w:p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hint="eastAsia" w:ascii="楷体" w:hAnsi="楷体" w:eastAsia="仿宋"/>
          <w:b/>
          <w:spacing w:val="-4"/>
          <w:sz w:val="32"/>
          <w:szCs w:val="32"/>
          <w:lang w:eastAsia="zh-CN"/>
        </w:rPr>
      </w:pPr>
      <w:r>
        <w:rPr>
          <w:rFonts w:hint="eastAsia" w:ascii="仿宋" w:hAnsi="仿宋" w:eastAsia="仿宋"/>
          <w:color w:val="000000" w:themeColor="text1"/>
          <w:spacing w:val="-4"/>
          <w:sz w:val="32"/>
          <w:szCs w:val="32"/>
        </w:rPr>
        <w:t>不存在未完成情况</w:t>
      </w:r>
      <w:r>
        <w:rPr>
          <w:rFonts w:ascii="仿宋" w:hAnsi="仿宋" w:eastAsia="仿宋"/>
          <w:color w:val="000000" w:themeColor="text1"/>
          <w:spacing w:val="-4"/>
          <w:sz w:val="32"/>
          <w:szCs w:val="32"/>
        </w:rPr>
        <w:t>:</w:t>
      </w:r>
      <w:r>
        <w:rPr>
          <w:rFonts w:hint="eastAsia" w:ascii="仿宋" w:hAnsi="仿宋" w:eastAsia="仿宋"/>
          <w:color w:val="000000" w:themeColor="text1"/>
          <w:spacing w:val="-4"/>
          <w:sz w:val="32"/>
          <w:szCs w:val="32"/>
        </w:rPr>
        <w:t>“2018年本项目绩效目标全部达成，不存在未完成原因分析”</w:t>
      </w:r>
      <w:r>
        <w:rPr>
          <w:rFonts w:hint="eastAsia" w:ascii="仿宋" w:hAnsi="仿宋" w:eastAsia="仿宋"/>
          <w:color w:val="000000" w:themeColor="text1"/>
          <w:spacing w:val="-4"/>
          <w:sz w:val="32"/>
          <w:szCs w:val="32"/>
          <w:lang w:eastAsia="zh-CN"/>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780" w:firstLineChars="25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无</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00" w:lineRule="exact"/>
        <w:ind w:firstLine="755" w:firstLineChars="242"/>
        <w:rPr>
          <w:rFonts w:ascii="仿宋_GB2312" w:eastAsia="仿宋_GB2312"/>
          <w:spacing w:val="-4"/>
          <w:sz w:val="32"/>
          <w:szCs w:val="32"/>
        </w:rPr>
      </w:pPr>
      <w:r>
        <w:rPr>
          <w:rFonts w:hint="eastAsia" w:ascii="仿宋_GB2312" w:eastAsia="仿宋_GB2312"/>
          <w:spacing w:val="-4"/>
          <w:sz w:val="32"/>
          <w:szCs w:val="32"/>
        </w:rPr>
        <w:t>对项目绩效认识不到位，存在集中花钱办事的情况。</w:t>
      </w:r>
    </w:p>
    <w:p>
      <w:pPr>
        <w:spacing w:line="500" w:lineRule="exact"/>
        <w:ind w:firstLine="755" w:firstLineChars="242"/>
        <w:rPr>
          <w:rFonts w:ascii="仿宋_GB2312" w:eastAsia="仿宋_GB2312"/>
          <w:spacing w:val="-4"/>
          <w:sz w:val="32"/>
          <w:szCs w:val="32"/>
        </w:rPr>
      </w:pPr>
      <w:r>
        <w:rPr>
          <w:rFonts w:hint="eastAsia" w:ascii="仿宋_GB2312" w:eastAsia="仿宋_GB2312"/>
          <w:spacing w:val="-4"/>
          <w:sz w:val="32"/>
          <w:szCs w:val="32"/>
        </w:rPr>
        <w:t>经验教训及改进措施：</w:t>
      </w:r>
    </w:p>
    <w:p>
      <w:pPr>
        <w:spacing w:line="500" w:lineRule="exact"/>
        <w:ind w:firstLine="755" w:firstLineChars="242"/>
        <w:rPr>
          <w:rFonts w:ascii="仿宋_GB2312" w:eastAsia="仿宋_GB2312"/>
          <w:spacing w:val="-4"/>
          <w:sz w:val="32"/>
          <w:szCs w:val="32"/>
        </w:rPr>
      </w:pPr>
      <w:r>
        <w:rPr>
          <w:rFonts w:hint="eastAsia" w:ascii="仿宋_GB2312" w:eastAsia="仿宋_GB2312"/>
          <w:spacing w:val="-4"/>
          <w:sz w:val="32"/>
          <w:szCs w:val="32"/>
        </w:rPr>
        <w:t>针对绩效评价过程中的问题，一是科学地做好支出进度安排，并在实施过程加强监督，加快支出进度。二是做好预算编制安排。</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本次项目评价通过文件研读、实地调研、数据分析等方式，全面了解项目资金的使用效率和效果，项目管理过程规范，完成了预期绩效目标。同时，通过开展自我评价总结经验和教训。</w:t>
      </w:r>
      <w:r>
        <w:rPr>
          <w:rFonts w:ascii="仿宋" w:hAnsi="仿宋" w:eastAsia="仿宋"/>
          <w:color w:val="000000" w:themeColor="text1"/>
          <w:spacing w:val="-4"/>
          <w:sz w:val="32"/>
          <w:szCs w:val="32"/>
        </w:rPr>
        <w:t xml:space="preserve"> </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pPr>
    </w:p>
    <w:p>
      <w:pPr>
        <w:adjustRightInd w:val="0"/>
        <w:snapToGrid w:val="0"/>
        <w:spacing w:line="560" w:lineRule="exact"/>
        <w:rPr>
          <w:rStyle w:val="19"/>
          <w:rFonts w:ascii="仿宋" w:hAnsi="仿宋" w:eastAsia="仿宋"/>
          <w:color w:val="FF0000"/>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263CB"/>
    <w:rsid w:val="000765F1"/>
    <w:rsid w:val="0012208E"/>
    <w:rsid w:val="00135256"/>
    <w:rsid w:val="00185DC9"/>
    <w:rsid w:val="00192BA7"/>
    <w:rsid w:val="001A4E1F"/>
    <w:rsid w:val="001A57B9"/>
    <w:rsid w:val="001C3847"/>
    <w:rsid w:val="001F3031"/>
    <w:rsid w:val="00210A26"/>
    <w:rsid w:val="002A2532"/>
    <w:rsid w:val="002A2D76"/>
    <w:rsid w:val="00365250"/>
    <w:rsid w:val="0036624C"/>
    <w:rsid w:val="0038479F"/>
    <w:rsid w:val="00385849"/>
    <w:rsid w:val="003F1A98"/>
    <w:rsid w:val="004B2043"/>
    <w:rsid w:val="0050167F"/>
    <w:rsid w:val="00514506"/>
    <w:rsid w:val="005162F1"/>
    <w:rsid w:val="00516E80"/>
    <w:rsid w:val="00535153"/>
    <w:rsid w:val="00575CFE"/>
    <w:rsid w:val="00583AFC"/>
    <w:rsid w:val="00592D09"/>
    <w:rsid w:val="00675D58"/>
    <w:rsid w:val="006A53A2"/>
    <w:rsid w:val="006F2E6D"/>
    <w:rsid w:val="007218B8"/>
    <w:rsid w:val="00727B02"/>
    <w:rsid w:val="00755C6A"/>
    <w:rsid w:val="00785FDE"/>
    <w:rsid w:val="007A0351"/>
    <w:rsid w:val="007A14BC"/>
    <w:rsid w:val="007C1025"/>
    <w:rsid w:val="007E6845"/>
    <w:rsid w:val="007F5F8A"/>
    <w:rsid w:val="00806F81"/>
    <w:rsid w:val="00826CA1"/>
    <w:rsid w:val="00835B7F"/>
    <w:rsid w:val="00855E3A"/>
    <w:rsid w:val="00882985"/>
    <w:rsid w:val="00892222"/>
    <w:rsid w:val="00922CB9"/>
    <w:rsid w:val="009350F7"/>
    <w:rsid w:val="009B526F"/>
    <w:rsid w:val="009C1AFD"/>
    <w:rsid w:val="009D4BFB"/>
    <w:rsid w:val="00A26421"/>
    <w:rsid w:val="00A40471"/>
    <w:rsid w:val="00A4293B"/>
    <w:rsid w:val="00A83BD5"/>
    <w:rsid w:val="00A977DF"/>
    <w:rsid w:val="00AE6A23"/>
    <w:rsid w:val="00B06CA5"/>
    <w:rsid w:val="00B13FCF"/>
    <w:rsid w:val="00B41F61"/>
    <w:rsid w:val="00B55332"/>
    <w:rsid w:val="00B86E8C"/>
    <w:rsid w:val="00BE1A00"/>
    <w:rsid w:val="00C0603F"/>
    <w:rsid w:val="00C12DCE"/>
    <w:rsid w:val="00C22CF0"/>
    <w:rsid w:val="00C56C72"/>
    <w:rsid w:val="00CA6457"/>
    <w:rsid w:val="00CC4442"/>
    <w:rsid w:val="00CC6E4D"/>
    <w:rsid w:val="00D17F2E"/>
    <w:rsid w:val="00D46194"/>
    <w:rsid w:val="00DC6E03"/>
    <w:rsid w:val="00E01293"/>
    <w:rsid w:val="00E027D1"/>
    <w:rsid w:val="00E33F6A"/>
    <w:rsid w:val="00E769FE"/>
    <w:rsid w:val="00EA2CBE"/>
    <w:rsid w:val="00EF3FFA"/>
    <w:rsid w:val="00F32FEE"/>
    <w:rsid w:val="00F47231"/>
    <w:rsid w:val="00F53E69"/>
    <w:rsid w:val="04B00E12"/>
    <w:rsid w:val="08C53FD0"/>
    <w:rsid w:val="0AB56CE2"/>
    <w:rsid w:val="0EB107EC"/>
    <w:rsid w:val="144D1B50"/>
    <w:rsid w:val="21454B50"/>
    <w:rsid w:val="23642091"/>
    <w:rsid w:val="275833BE"/>
    <w:rsid w:val="27A7408F"/>
    <w:rsid w:val="397F4FE8"/>
    <w:rsid w:val="3F82252B"/>
    <w:rsid w:val="4EFD6A38"/>
    <w:rsid w:val="58497DEA"/>
    <w:rsid w:val="5A7F02EA"/>
    <w:rsid w:val="5ADB13EB"/>
    <w:rsid w:val="5E0052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unhideWhenUsed/>
    <w:qFormat/>
    <w:uiPriority w:val="99"/>
    <w:rPr>
      <w:rFonts w:ascii="宋体"/>
      <w:sz w:val="18"/>
      <w:szCs w:val="18"/>
    </w:rPr>
  </w:style>
  <w:style w:type="paragraph" w:styleId="12">
    <w:name w:val="Balloon Text"/>
    <w:basedOn w:val="1"/>
    <w:link w:val="48"/>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widowControl/>
      <w:spacing w:before="100" w:beforeAutospacing="1" w:after="240"/>
      <w:jc w:val="left"/>
    </w:pPr>
    <w:rPr>
      <w:rFonts w:ascii="宋体" w:hAnsi="宋体" w:cs="宋体"/>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99"/>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customStyle="1" w:styleId="33">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引用1"/>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明显引用1"/>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不明显强调1"/>
    <w:qFormat/>
    <w:uiPriority w:val="19"/>
    <w:rPr>
      <w:i/>
      <w:color w:val="595959" w:themeColor="text1" w:themeTint="A5"/>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unhideWhenUsed/>
    <w:qFormat/>
    <w:uiPriority w:val="39"/>
    <w:pPr>
      <w:outlineLvl w:val="9"/>
    </w:pPr>
    <w:rPr>
      <w:lang w:eastAsia="en-US" w:bidi="en-US"/>
    </w:rPr>
  </w:style>
  <w:style w:type="character" w:customStyle="1" w:styleId="45">
    <w:name w:val="页眉 Char"/>
    <w:basedOn w:val="18"/>
    <w:link w:val="14"/>
    <w:qFormat/>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character" w:customStyle="1" w:styleId="48">
    <w:name w:val="批注框文本 Char"/>
    <w:basedOn w:val="18"/>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50">
    <w:name w:val="font21"/>
    <w:basedOn w:val="18"/>
    <w:qFormat/>
    <w:uiPriority w:val="0"/>
    <w:rPr>
      <w:rFonts w:hint="default" w:ascii="Times New Roman" w:hAnsi="Times New Roman" w:cs="Times New Roman"/>
      <w:color w:val="000000"/>
      <w:sz w:val="24"/>
      <w:szCs w:val="24"/>
      <w:u w:val="none"/>
    </w:rPr>
  </w:style>
  <w:style w:type="character" w:customStyle="1" w:styleId="51">
    <w:name w:val="font01"/>
    <w:basedOn w:val="18"/>
    <w:uiPriority w:val="0"/>
    <w:rPr>
      <w:rFonts w:hint="eastAsia" w:ascii="宋体" w:hAnsi="宋体" w:eastAsia="宋体" w:cs="宋体"/>
      <w:color w:val="000000"/>
      <w:sz w:val="24"/>
      <w:szCs w:val="24"/>
      <w:u w:val="none"/>
    </w:rPr>
  </w:style>
  <w:style w:type="character" w:customStyle="1" w:styleId="52">
    <w:name w:val="font11"/>
    <w:basedOn w:val="18"/>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216</Words>
  <Characters>1235</Characters>
  <Lines>10</Lines>
  <Paragraphs>2</Paragraphs>
  <TotalTime>12</TotalTime>
  <ScaleCrop>false</ScaleCrop>
  <LinksUpToDate>false</LinksUpToDate>
  <CharactersWithSpaces>1449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2019-09-18T02:36:00Z</dcterms:created>
  <dc:creator>赵 恺（预算处）</dc:creator>
  <cp:lastModifiedBy>Lenovo</cp:lastModifiedBy>
  <cp:lastPrinted>2018-12-17T10:15:00Z</cp:lastPrinted>
  <dcterms:modified xsi:type="dcterms:W3CDTF">2019-09-22T11:09:43Z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